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2" w:rsidRPr="007306FB" w:rsidRDefault="00517262" w:rsidP="0093251E">
      <w:pPr>
        <w:spacing w:after="0" w:line="240" w:lineRule="auto"/>
        <w:jc w:val="center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517262" w:rsidRPr="007306FB" w:rsidRDefault="00517262" w:rsidP="0093251E">
      <w:pPr>
        <w:spacing w:after="185" w:line="240" w:lineRule="auto"/>
        <w:jc w:val="center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от 12 Мая </w:t>
      </w:r>
      <w:smartTag w:uri="urn:schemas-microsoft-com:office:smarttags" w:element="metricconverter">
        <w:smartTagPr>
          <w:attr w:name="ProductID" w:val="2011 г"/>
        </w:smartTagPr>
        <w:r w:rsidRPr="007306FB">
          <w:rPr>
            <w:rFonts w:ascii="Arial" w:hAnsi="Arial" w:cs="Arial"/>
            <w:b/>
            <w:bCs/>
            <w:color w:val="444444"/>
            <w:sz w:val="24"/>
            <w:szCs w:val="24"/>
            <w:lang w:eastAsia="ru-RU"/>
          </w:rPr>
          <w:t>2011 г</w:t>
        </w:r>
      </w:smartTag>
      <w:r w:rsidRPr="007306F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. N 03-296</w:t>
      </w:r>
    </w:p>
    <w:p w:rsidR="00517262" w:rsidRPr="007306FB" w:rsidRDefault="00517262" w:rsidP="0093251E">
      <w:pPr>
        <w:spacing w:line="240" w:lineRule="auto"/>
        <w:jc w:val="center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России направляет для использования в работе материалы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 апреля </w:t>
      </w:r>
      <w:smartTag w:uri="urn:schemas-microsoft-com:office:smarttags" w:element="metricconverter">
        <w:smartTagPr>
          <w:attr w:name="ProductID" w:val="2011 г"/>
        </w:smartTagPr>
        <w:r w:rsidRPr="007306FB">
          <w:rPr>
            <w:rFonts w:ascii="Arial" w:hAnsi="Arial" w:cs="Arial"/>
            <w:color w:val="444444"/>
            <w:sz w:val="24"/>
            <w:szCs w:val="24"/>
            <w:lang w:eastAsia="ru-RU"/>
          </w:rPr>
          <w:t>2011 г</w:t>
        </w:r>
      </w:smartTag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.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46" w:after="46" w:line="148" w:lineRule="atLeast"/>
        <w:ind w:firstLine="138"/>
        <w:jc w:val="right"/>
        <w:rPr>
          <w:rFonts w:ascii="Arial" w:hAnsi="Arial" w:cs="Arial"/>
          <w:color w:val="636363"/>
          <w:sz w:val="24"/>
          <w:szCs w:val="24"/>
          <w:lang w:eastAsia="ru-RU"/>
        </w:rPr>
      </w:pPr>
      <w:r w:rsidRPr="007306FB">
        <w:rPr>
          <w:rFonts w:ascii="Arial" w:hAnsi="Arial" w:cs="Arial"/>
          <w:color w:val="636363"/>
          <w:sz w:val="24"/>
          <w:szCs w:val="24"/>
          <w:lang w:eastAsia="ru-RU"/>
        </w:rPr>
        <w:t>Директор Департамента</w:t>
      </w:r>
    </w:p>
    <w:p w:rsidR="00517262" w:rsidRPr="007306FB" w:rsidRDefault="00517262" w:rsidP="0093251E">
      <w:pPr>
        <w:spacing w:before="46" w:after="46" w:line="148" w:lineRule="atLeast"/>
        <w:ind w:firstLine="138"/>
        <w:jc w:val="right"/>
        <w:rPr>
          <w:rFonts w:ascii="Arial" w:hAnsi="Arial" w:cs="Arial"/>
          <w:color w:val="636363"/>
          <w:sz w:val="24"/>
          <w:szCs w:val="24"/>
          <w:lang w:eastAsia="ru-RU"/>
        </w:rPr>
      </w:pPr>
      <w:r w:rsidRPr="007306FB">
        <w:rPr>
          <w:rFonts w:ascii="Arial" w:hAnsi="Arial" w:cs="Arial"/>
          <w:color w:val="636363"/>
          <w:sz w:val="24"/>
          <w:szCs w:val="24"/>
          <w:lang w:eastAsia="ru-RU"/>
        </w:rPr>
        <w:t>Е.Л.НИЗИЕНКО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        </w:t>
      </w:r>
    </w:p>
    <w:p w:rsidR="00517262" w:rsidRPr="007306FB" w:rsidRDefault="00517262" w:rsidP="0093251E">
      <w:pPr>
        <w:spacing w:before="46" w:after="46" w:line="148" w:lineRule="atLeast"/>
        <w:ind w:firstLine="138"/>
        <w:jc w:val="right"/>
        <w:rPr>
          <w:rFonts w:ascii="Arial" w:hAnsi="Arial" w:cs="Arial"/>
          <w:color w:val="636363"/>
          <w:sz w:val="24"/>
          <w:szCs w:val="24"/>
          <w:lang w:eastAsia="ru-RU"/>
        </w:rPr>
      </w:pPr>
      <w:r w:rsidRPr="007306FB">
        <w:rPr>
          <w:rFonts w:ascii="Arial" w:hAnsi="Arial" w:cs="Arial"/>
          <w:color w:val="636363"/>
          <w:sz w:val="24"/>
          <w:szCs w:val="24"/>
          <w:lang w:eastAsia="ru-RU"/>
        </w:rPr>
        <w:t>Приложение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МЕТОДИЧЕСКИЕ МАТЕРИАЛЫ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ПО ОРГАНИЗАЦИИ ВНЕУРОЧНОЙ ДЕЯТЕЛЬНОСТИ В ОБРАЗОВАТЕЛЬНЫХ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УЧРЕЖДЕНИЯХ, РЕАЛИЗУЮЩИХ ОБЩЕОБРАЗОВАТЕЛЬНЫЕ ПРОГРАММЫ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НАЧАЛЬНОГО ОБЩЕГО ОБРАЗОВАНИЯ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Основные задачи внеурочной деятельности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Кроме того, внеурочная деятельность в начальной школе позволяет решить еще целый ряд очень важных задач:</w:t>
      </w:r>
    </w:p>
    <w:p w:rsidR="00517262" w:rsidRPr="007306FB" w:rsidRDefault="00517262" w:rsidP="007306FB">
      <w:pPr>
        <w:numPr>
          <w:ilvl w:val="0"/>
          <w:numId w:val="2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517262" w:rsidRPr="007306FB" w:rsidRDefault="00517262" w:rsidP="007306FB">
      <w:pPr>
        <w:numPr>
          <w:ilvl w:val="0"/>
          <w:numId w:val="2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оптимизировать учебную нагрузку обучающихся;</w:t>
      </w:r>
    </w:p>
    <w:p w:rsidR="00517262" w:rsidRPr="007306FB" w:rsidRDefault="00517262" w:rsidP="007306FB">
      <w:pPr>
        <w:numPr>
          <w:ilvl w:val="0"/>
          <w:numId w:val="2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улучшить условия для развития ребенка;</w:t>
      </w:r>
    </w:p>
    <w:p w:rsidR="00517262" w:rsidRPr="007306FB" w:rsidRDefault="00517262" w:rsidP="007306FB">
      <w:pPr>
        <w:numPr>
          <w:ilvl w:val="0"/>
          <w:numId w:val="2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учесть возрастные и индивидуальные особенности обучающихся.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общеинтеллектуальное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, общекультурное), в таких формах как экскурсии, кружки, секции, круглые столы, конференции, диспуты, школьные научные общества, 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олимпиады, соревнования, поисковые и научные исследования, общественно полезные практики и других.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517262" w:rsidRPr="007306FB" w:rsidRDefault="00517262" w:rsidP="007306FB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Организационные модели внеурочной деятельности</w:t>
      </w:r>
    </w:p>
    <w:p w:rsidR="00517262" w:rsidRPr="007306FB" w:rsidRDefault="00517262" w:rsidP="007306FB">
      <w:pPr>
        <w:spacing w:after="0" w:line="24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tbl>
      <w:tblPr>
        <w:tblW w:w="90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2"/>
      </w:tblGrid>
      <w:tr w:rsidR="00517262" w:rsidRPr="007306FB" w:rsidTr="007306FB">
        <w:trPr>
          <w:trHeight w:val="6258"/>
          <w:tblCellSpacing w:w="15" w:type="dxa"/>
        </w:trPr>
        <w:tc>
          <w:tcPr>
            <w:tcW w:w="0" w:type="auto"/>
          </w:tcPr>
          <w:p w:rsidR="00517262" w:rsidRPr="007306FB" w:rsidRDefault="00517262" w:rsidP="0093251E">
            <w:pPr>
              <w:spacing w:after="185" w:line="148" w:lineRule="atLeas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306FB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 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t>—————————————————————————————                    ——————————————————————————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Инновационная       |                    |  Иные педагогические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(экспериментальная,    |                    |       работники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пилотная, внедренческая)  |                    |          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  площадка          |    ——————————————  |Должностные обязанности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Инновационная       |    |внеурочная  |  | педагога-организатора,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(экспериментальная)    |&lt;————деятельность+-&gt;| социального педагога,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|деятельность по разработке,|    +-+-+-+-+—————  |  педагога-психолога,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апробации, внедрению    |      | | | | |     |   старшего вожатого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новых образовательных   |      | | | | |     |          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программ, в том числе    |      | | | | |     |          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учитывающих региональные  |      | | | | |     |          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особенности         |      | | | | |     |          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—————————————————————————————      | | | | |     ——————————————————————————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                                   | | | |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        ———————————————————————————— | | | ————————————————————————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        |              ——————————————— | ————————————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        /             /              /           /            /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——————————————— —————————————— ———————————————— —————————— ————————————————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|Учебные план | |Дополнитель-| |Дополнительное| |Группы  | |   Классное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|образователь-| |ное образо- | |образование   | |продлен-| | руководство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|ного учрежде-| |вание       | |учреждений    | |ного дня|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|ния          | |образова-   | |культуры и    | |        | | Деятельность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      | |тельного    | |УДОД          | |Деятель-| |   классных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|Часть,       | |учреждения  | |              | |ность   | |руководителей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|формируемая  | |            | |Организация   | |воспита-| | (экскурсии,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|участниками  | |Организация | |деятельности  | |телей   | |   диспуты,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|образователь-| |кружков,    | |как на базе   | |ГПД,    | |круглые столы,|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|ного процесса| |спортивно-  | |общеобразова- | |например| |соревнования,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|(секции,     | |оздорови-   | |тельных       | |в рамках| | общественно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|школьные     | |тельных     | |учреждений,   | |"школы  | |   полезные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|научные      | |секций,     | |так и на базе | |полного | |  практики и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|общества,    | |поисковых и | |самих         | |дня"    | |    т.д.)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|научные      | |научных     | |учреждений    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|исследования | |исследований| |дополнительно-|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|и т.д.)      | |и т.д.      | |го образования|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      | |            | |детей и       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      | |            | |учреждений    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|             | |            | |культуры      | |        | |              |</w:t>
            </w:r>
            <w:r w:rsidRPr="007306FB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  <w:t>——————————————— —————————————— ———————————————— —————————— ————————————————</w:t>
            </w:r>
          </w:p>
        </w:tc>
      </w:tr>
    </w:tbl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Рис. 1. Базовая организационная модель реализации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внеурочной деятельности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lastRenderedPageBreak/>
        <w:t> 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внутришкольная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система дополнительного образования);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организацию деятельности групп продленного дня;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модель "школы полного дня";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517262" w:rsidRPr="007306FB" w:rsidRDefault="00517262" w:rsidP="007306FB">
      <w:pPr>
        <w:numPr>
          <w:ilvl w:val="0"/>
          <w:numId w:val="3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инновационно-образовательная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модель.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внутришкольного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Модель дополнительного образования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Связующим звеном между </w:t>
      </w:r>
      <w:r w:rsidRPr="007306FB">
        <w:rPr>
          <w:rFonts w:ascii="Arial" w:hAnsi="Arial" w:cs="Arial"/>
          <w:sz w:val="24"/>
          <w:szCs w:val="24"/>
          <w:lang w:eastAsia="ru-RU"/>
        </w:rPr>
        <w:t>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этой деятельности, а также ее содержание и методы работы.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деятельностная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Модель "школы полного дня"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Данную модель характеризует: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разноакцентированных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пространств;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создание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517262" w:rsidRPr="007306FB" w:rsidRDefault="00517262" w:rsidP="007306FB">
      <w:pPr>
        <w:numPr>
          <w:ilvl w:val="0"/>
          <w:numId w:val="4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опора на интеграцию основных и дополнительных образовательных программ.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Оптимизационная модель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тьютор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и другие).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517262" w:rsidRPr="007306FB" w:rsidRDefault="00517262" w:rsidP="007306FB">
      <w:pPr>
        <w:numPr>
          <w:ilvl w:val="0"/>
          <w:numId w:val="5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517262" w:rsidRPr="007306FB" w:rsidRDefault="00517262" w:rsidP="007306FB">
      <w:pPr>
        <w:numPr>
          <w:ilvl w:val="0"/>
          <w:numId w:val="5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517262" w:rsidRPr="007306FB" w:rsidRDefault="00517262" w:rsidP="007306FB">
      <w:pPr>
        <w:numPr>
          <w:ilvl w:val="0"/>
          <w:numId w:val="5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517262" w:rsidRPr="007306FB" w:rsidRDefault="00517262" w:rsidP="007306FB">
      <w:pPr>
        <w:numPr>
          <w:ilvl w:val="0"/>
          <w:numId w:val="5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организует социально значимую, творческую деятельность обучающихся.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Инновационно-образовательная</w:t>
      </w:r>
      <w:proofErr w:type="spellEnd"/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 модель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Инновационно-образовательная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пилотной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Инновационно-образовательная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Создание условий для реализации внеурочной деятельности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886549">
        <w:rPr>
          <w:rFonts w:ascii="Arial" w:hAnsi="Arial" w:cs="Arial"/>
          <w:b/>
          <w:color w:val="444444"/>
          <w:sz w:val="24"/>
          <w:szCs w:val="24"/>
          <w:lang w:eastAsia="ru-RU"/>
        </w:rPr>
        <w:t>Организационное обеспечение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В рамках проектирования взаимодействия учреждений общего и дополнительного образования детей в условиях введения и реализации 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стажировочной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данной модели обязательным элементом (за исключением случая наличия соответствующей лицензии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ИПКиПРО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стажировочной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886549">
        <w:rPr>
          <w:rFonts w:ascii="Arial" w:hAnsi="Arial" w:cs="Arial"/>
          <w:b/>
          <w:color w:val="444444"/>
          <w:sz w:val="24"/>
          <w:szCs w:val="24"/>
          <w:lang w:eastAsia="ru-RU"/>
        </w:rPr>
        <w:t>Нормативное обеспечение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Примерный перечень локальных актов образовательного учреждения, обеспечивающих реализацию внеурочной деятельности в рамках ФГОС, приведен в Приложении.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886549">
        <w:rPr>
          <w:rFonts w:ascii="Arial" w:hAnsi="Arial" w:cs="Arial"/>
          <w:b/>
          <w:color w:val="444444"/>
          <w:sz w:val="24"/>
          <w:szCs w:val="24"/>
          <w:lang w:eastAsia="ru-RU"/>
        </w:rPr>
        <w:t>Финансово-экономические условия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.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. 6.1 п. 1 ст. 29 Закона Российской Федерации "Об образовании"). Согласно пункту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 в рамках системы поиска и содействия развитию одаренных детей.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данном случае предполагается финансирование:</w:t>
      </w:r>
    </w:p>
    <w:p w:rsidR="00517262" w:rsidRPr="007306FB" w:rsidRDefault="00517262" w:rsidP="007306FB">
      <w:pPr>
        <w:numPr>
          <w:ilvl w:val="0"/>
          <w:numId w:val="6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517262" w:rsidRPr="007306FB" w:rsidRDefault="00517262" w:rsidP="007306FB">
      <w:pPr>
        <w:numPr>
          <w:ilvl w:val="0"/>
          <w:numId w:val="6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внутришкольного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517262" w:rsidRPr="007306FB" w:rsidRDefault="00517262" w:rsidP="007306FB">
      <w:pPr>
        <w:numPr>
          <w:ilvl w:val="0"/>
          <w:numId w:val="6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групп продленного дня (модель "школа полного дня");</w:t>
      </w:r>
    </w:p>
    <w:p w:rsidR="00517262" w:rsidRPr="007306FB" w:rsidRDefault="00517262" w:rsidP="007306FB">
      <w:pPr>
        <w:numPr>
          <w:ilvl w:val="0"/>
          <w:numId w:val="6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517262" w:rsidRPr="007306FB" w:rsidRDefault="00517262" w:rsidP="007306FB">
      <w:pPr>
        <w:numPr>
          <w:ilvl w:val="0"/>
          <w:numId w:val="6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</w:t>
      </w: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Согласно пунктам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развитие новой системы оплаты труда, ориентированной на ФГОС НОО;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совершенствование правового положения государственных (муниципальных) учреждений;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разработка и апробация новых регуляторов экономических механизмов в системе образования.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создание и ведение различных баз данных (нормативно-правовой, методической и других);</w:t>
      </w:r>
    </w:p>
    <w:p w:rsidR="00517262" w:rsidRPr="007306FB" w:rsidRDefault="00517262" w:rsidP="007306FB">
      <w:pPr>
        <w:numPr>
          <w:ilvl w:val="0"/>
          <w:numId w:val="7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диверсификацию форм методической работы в образовательном учреждении;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Закон Российской Федерации "Об образовании" (в действующей редакции);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России от 26 ноября 2010 г. N 1241, зарегистрированы в Минюсте России 4 февраля 2011 г., регистрационный номер 19707);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СанПиН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СанПиН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4594);</w:t>
      </w:r>
    </w:p>
    <w:p w:rsidR="00517262" w:rsidRPr="007306FB" w:rsidRDefault="00517262" w:rsidP="007306FB">
      <w:pPr>
        <w:numPr>
          <w:ilvl w:val="0"/>
          <w:numId w:val="8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 России от 28 декабря 2010 г. N 2106, зарегистрированы в Минюсте России 2 февраля 2011 г., регистрационный номер 19676).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517262" w:rsidRDefault="00517262" w:rsidP="007306FB">
      <w:pPr>
        <w:spacing w:before="46" w:after="46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</w:p>
    <w:p w:rsidR="00517262" w:rsidRPr="007306FB" w:rsidRDefault="00517262" w:rsidP="007306FB">
      <w:pPr>
        <w:spacing w:before="46" w:after="46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517262" w:rsidRPr="007306FB" w:rsidRDefault="00517262" w:rsidP="007306FB">
      <w:pPr>
        <w:numPr>
          <w:ilvl w:val="0"/>
          <w:numId w:val="9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517262" w:rsidRPr="007306FB" w:rsidRDefault="00517262" w:rsidP="007306FB">
      <w:pPr>
        <w:numPr>
          <w:ilvl w:val="0"/>
          <w:numId w:val="9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517262" w:rsidRPr="007306FB" w:rsidRDefault="00517262" w:rsidP="007306FB">
      <w:pPr>
        <w:numPr>
          <w:ilvl w:val="0"/>
          <w:numId w:val="9"/>
        </w:numPr>
        <w:spacing w:before="46" w:after="46" w:line="148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учреждения.</w:t>
      </w:r>
    </w:p>
    <w:p w:rsidR="00517262" w:rsidRPr="007306FB" w:rsidRDefault="00517262" w:rsidP="0093251E">
      <w:pPr>
        <w:spacing w:before="46" w:after="46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 xml:space="preserve">При отсутствии возможности для реализации внеурочной деятельности, в том числе по причине кадровой </w:t>
      </w:r>
      <w:proofErr w:type="spellStart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неукомплектованности</w:t>
      </w:r>
      <w:proofErr w:type="spellEnd"/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517262" w:rsidRPr="007306FB" w:rsidRDefault="00517262" w:rsidP="0093251E">
      <w:pPr>
        <w:spacing w:before="46" w:after="46" w:line="148" w:lineRule="atLeast"/>
        <w:ind w:firstLine="138"/>
        <w:jc w:val="right"/>
        <w:rPr>
          <w:rFonts w:ascii="Arial" w:hAnsi="Arial" w:cs="Arial"/>
          <w:color w:val="636363"/>
          <w:sz w:val="24"/>
          <w:szCs w:val="24"/>
          <w:lang w:eastAsia="ru-RU"/>
        </w:rPr>
      </w:pPr>
      <w:r>
        <w:rPr>
          <w:rFonts w:ascii="Arial" w:hAnsi="Arial" w:cs="Arial"/>
          <w:color w:val="636363"/>
          <w:sz w:val="24"/>
          <w:szCs w:val="24"/>
          <w:lang w:eastAsia="ru-RU"/>
        </w:rPr>
        <w:br w:type="page"/>
      </w:r>
      <w:r w:rsidRPr="007306FB">
        <w:rPr>
          <w:rFonts w:ascii="Arial" w:hAnsi="Arial" w:cs="Arial"/>
          <w:color w:val="636363"/>
          <w:sz w:val="24"/>
          <w:szCs w:val="24"/>
          <w:lang w:eastAsia="ru-RU"/>
        </w:rPr>
        <w:lastRenderedPageBreak/>
        <w:t>Приложение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ПРИМЕРНЫЙ ПЕРЕЧЕНЬ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ЛОКАЛЬНЫХ АКТОВ ОБРАЗОВАТЕЛЬНОГО УЧРЕЖДЕНИЯ,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ОБЕСПЕЧИВАЮЩИХ РЕАЛИЗАЦИЮ ВНЕУРОЧНОЙ ДЕЯТЕЛЬНОСТИ В РАМКАХ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517262" w:rsidRPr="007306FB" w:rsidRDefault="00517262" w:rsidP="0093251E">
      <w:pPr>
        <w:spacing w:before="92" w:after="92" w:line="148" w:lineRule="atLeast"/>
        <w:ind w:firstLine="138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b/>
          <w:color w:val="444444"/>
          <w:sz w:val="24"/>
          <w:szCs w:val="24"/>
          <w:lang w:eastAsia="ru-RU"/>
        </w:rPr>
        <w:t>НАЧАЛЬНОГО ОБЩЕГО ОБРАЗОВАНИЯ</w:t>
      </w:r>
    </w:p>
    <w:p w:rsidR="00517262" w:rsidRPr="007306FB" w:rsidRDefault="00517262" w:rsidP="0093251E">
      <w:pPr>
        <w:spacing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7306FB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17262" w:rsidRPr="007306FB" w:rsidRDefault="00517262" w:rsidP="0093251E">
      <w:pPr>
        <w:spacing w:before="46" w:after="185" w:line="148" w:lineRule="atLeast"/>
        <w:ind w:firstLine="138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7306FB">
        <w:rPr>
          <w:rFonts w:ascii="Arial" w:hAnsi="Arial" w:cs="Arial"/>
          <w:color w:val="444444"/>
          <w:sz w:val="24"/>
          <w:szCs w:val="24"/>
          <w:lang w:eastAsia="ru-RU"/>
        </w:rPr>
        <w:t>1. Устав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2. Правила внутреннего распорядка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3. Договор образовательного учреждения с учредителем.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4. Договор образовательного учреждения с родителями (законными представителями) обучающихся.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6. Положения о формах самоуправления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8. Положение о группе продленного дня ("школе полного дня").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9. Должностные инструкции работников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10. Приказы об утверждении рабочих программ учебных курсов, дисциплин (модулей).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11. Положение о распределении стимулирующей части фонда оплаты труда работников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12. Положение об оказании платных дополнительных образовательных услуг.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13. Положение об организации и проведении публичного отчета образовательного учреждения.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14. Положение об учебном кабинете.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15. Положение об информационно-библиотечном центре.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 xml:space="preserve">16. Положение о </w:t>
      </w:r>
      <w:proofErr w:type="spellStart"/>
      <w:r w:rsidRPr="007306FB">
        <w:rPr>
          <w:rFonts w:ascii="Arial" w:hAnsi="Arial" w:cs="Arial"/>
          <w:color w:val="444444"/>
        </w:rPr>
        <w:t>культурно-досуговом</w:t>
      </w:r>
      <w:proofErr w:type="spellEnd"/>
      <w:r w:rsidRPr="007306FB">
        <w:rPr>
          <w:rFonts w:ascii="Arial" w:hAnsi="Arial" w:cs="Arial"/>
          <w:color w:val="444444"/>
        </w:rPr>
        <w:t xml:space="preserve"> центре.</w:t>
      </w:r>
    </w:p>
    <w:p w:rsidR="00517262" w:rsidRPr="007306FB" w:rsidRDefault="00517262" w:rsidP="00EF62D5">
      <w:pPr>
        <w:pStyle w:val="a4"/>
        <w:spacing w:before="46" w:beforeAutospacing="0" w:after="46" w:afterAutospacing="0" w:line="148" w:lineRule="atLeast"/>
        <w:ind w:firstLine="138"/>
        <w:jc w:val="both"/>
        <w:rPr>
          <w:rFonts w:ascii="Arial" w:hAnsi="Arial" w:cs="Arial"/>
          <w:color w:val="444444"/>
        </w:rPr>
      </w:pPr>
      <w:r w:rsidRPr="007306FB">
        <w:rPr>
          <w:rFonts w:ascii="Arial" w:hAnsi="Arial" w:cs="Arial"/>
          <w:color w:val="444444"/>
        </w:rPr>
        <w:t>17. Положение о физкультурно-оздоровительном центре.</w:t>
      </w:r>
    </w:p>
    <w:p w:rsidR="00517262" w:rsidRPr="007306FB" w:rsidRDefault="00517262" w:rsidP="00EF62D5">
      <w:pPr>
        <w:rPr>
          <w:sz w:val="24"/>
          <w:szCs w:val="24"/>
        </w:rPr>
      </w:pPr>
    </w:p>
    <w:sectPr w:rsidR="00517262" w:rsidRPr="007306FB" w:rsidSect="007306FB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62" w:rsidRDefault="00517262">
      <w:r>
        <w:separator/>
      </w:r>
    </w:p>
  </w:endnote>
  <w:endnote w:type="continuationSeparator" w:id="0">
    <w:p w:rsidR="00517262" w:rsidRDefault="0051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2" w:rsidRDefault="0065419E" w:rsidP="00E417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72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7262" w:rsidRDefault="00517262" w:rsidP="007306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2" w:rsidRDefault="0065419E" w:rsidP="00E417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72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6549">
      <w:rPr>
        <w:rStyle w:val="a8"/>
        <w:noProof/>
      </w:rPr>
      <w:t>6</w:t>
    </w:r>
    <w:r>
      <w:rPr>
        <w:rStyle w:val="a8"/>
      </w:rPr>
      <w:fldChar w:fldCharType="end"/>
    </w:r>
  </w:p>
  <w:p w:rsidR="00517262" w:rsidRDefault="00517262" w:rsidP="007306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62" w:rsidRDefault="00517262">
      <w:r>
        <w:separator/>
      </w:r>
    </w:p>
  </w:footnote>
  <w:footnote w:type="continuationSeparator" w:id="0">
    <w:p w:rsidR="00517262" w:rsidRDefault="0051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975"/>
    <w:multiLevelType w:val="hybridMultilevel"/>
    <w:tmpl w:val="99B0798C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">
    <w:nsid w:val="2D8639FA"/>
    <w:multiLevelType w:val="hybridMultilevel"/>
    <w:tmpl w:val="EE2A5CA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4376CC7"/>
    <w:multiLevelType w:val="hybridMultilevel"/>
    <w:tmpl w:val="C5DACCEC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">
    <w:nsid w:val="3AD12B78"/>
    <w:multiLevelType w:val="hybridMultilevel"/>
    <w:tmpl w:val="A75E5AF4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4">
    <w:nsid w:val="4997629E"/>
    <w:multiLevelType w:val="hybridMultilevel"/>
    <w:tmpl w:val="3C502C32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57D54BA0"/>
    <w:multiLevelType w:val="hybridMultilevel"/>
    <w:tmpl w:val="F28ED090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>
    <w:nsid w:val="66BE60E8"/>
    <w:multiLevelType w:val="hybridMultilevel"/>
    <w:tmpl w:val="D31EB850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>
    <w:nsid w:val="66F4624F"/>
    <w:multiLevelType w:val="hybridMultilevel"/>
    <w:tmpl w:val="9C88A12A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>
    <w:nsid w:val="6DD13ACC"/>
    <w:multiLevelType w:val="hybridMultilevel"/>
    <w:tmpl w:val="D9C03282"/>
    <w:lvl w:ilvl="0" w:tplc="B5703070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1E"/>
    <w:rsid w:val="002F686B"/>
    <w:rsid w:val="00517262"/>
    <w:rsid w:val="00627478"/>
    <w:rsid w:val="0065419E"/>
    <w:rsid w:val="007306FB"/>
    <w:rsid w:val="00802146"/>
    <w:rsid w:val="00886549"/>
    <w:rsid w:val="008F0CBE"/>
    <w:rsid w:val="0093251E"/>
    <w:rsid w:val="00933103"/>
    <w:rsid w:val="00DA03A7"/>
    <w:rsid w:val="00E4171C"/>
    <w:rsid w:val="00E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3251E"/>
    <w:rPr>
      <w:rFonts w:cs="Times New Roman"/>
    </w:rPr>
  </w:style>
  <w:style w:type="character" w:styleId="a3">
    <w:name w:val="Hyperlink"/>
    <w:basedOn w:val="a0"/>
    <w:uiPriority w:val="99"/>
    <w:semiHidden/>
    <w:rsid w:val="0093251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32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932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">
    <w:name w:val="bt"/>
    <w:basedOn w:val="a"/>
    <w:uiPriority w:val="99"/>
    <w:rsid w:val="00932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3103"/>
    <w:pPr>
      <w:ind w:left="720"/>
      <w:contextualSpacing/>
    </w:pPr>
  </w:style>
  <w:style w:type="paragraph" w:styleId="a6">
    <w:name w:val="footer"/>
    <w:basedOn w:val="a"/>
    <w:link w:val="a7"/>
    <w:uiPriority w:val="99"/>
    <w:rsid w:val="00730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171"/>
    <w:rPr>
      <w:lang w:eastAsia="en-US"/>
    </w:rPr>
  </w:style>
  <w:style w:type="character" w:styleId="a8">
    <w:name w:val="page number"/>
    <w:basedOn w:val="a0"/>
    <w:uiPriority w:val="99"/>
    <w:rsid w:val="007306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30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7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80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0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11">
          <w:marLeft w:val="0"/>
          <w:marRight w:val="0"/>
          <w:marTop w:val="46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12">
          <w:marLeft w:val="0"/>
          <w:marRight w:val="0"/>
          <w:marTop w:val="462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1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3330</Words>
  <Characters>27543</Characters>
  <Application>Microsoft Office Word</Application>
  <DocSecurity>0</DocSecurity>
  <Lines>229</Lines>
  <Paragraphs>61</Paragraphs>
  <ScaleCrop>false</ScaleCrop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2013-08-08T06:37:00Z</cp:lastPrinted>
  <dcterms:created xsi:type="dcterms:W3CDTF">2013-08-03T06:52:00Z</dcterms:created>
  <dcterms:modified xsi:type="dcterms:W3CDTF">2013-09-08T14:57:00Z</dcterms:modified>
</cp:coreProperties>
</file>